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FB" w:rsidRPr="00303EDB" w:rsidRDefault="00E2515F" w:rsidP="001F7FF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CE2961" w:rsidRPr="00976BD3" w:rsidRDefault="005B7A63" w:rsidP="00CE29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Ассамблеясы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Кеңесінің </w:t>
      </w:r>
    </w:p>
    <w:p w:rsidR="00CE2961" w:rsidRPr="00976BD3" w:rsidRDefault="00CE2961" w:rsidP="00CE29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2021 жылғы 22 қарашадағы</w:t>
      </w:r>
    </w:p>
    <w:p w:rsidR="00CE2961" w:rsidRPr="00976BD3" w:rsidRDefault="005B7A63" w:rsidP="00CE29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CE2961" w:rsidRPr="00976BD3">
        <w:rPr>
          <w:rFonts w:ascii="Times New Roman" w:hAnsi="Times New Roman" w:cs="Times New Roman"/>
          <w:sz w:val="28"/>
          <w:szCs w:val="28"/>
          <w:lang w:val="kk-KZ"/>
        </w:rPr>
        <w:t>шешімімен</w:t>
      </w:r>
    </w:p>
    <w:p w:rsidR="00CE2961" w:rsidRPr="00976BD3" w:rsidRDefault="00CE2961" w:rsidP="00CE29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</w:p>
    <w:p w:rsidR="005B7A63" w:rsidRPr="00976BD3" w:rsidRDefault="005B7A63" w:rsidP="005B7A63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F451B" w:rsidRPr="00976BD3" w:rsidRDefault="002F451B" w:rsidP="002F451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416C6" w:rsidRPr="00976BD3" w:rsidRDefault="005A035C" w:rsidP="00DD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 Ассамблеясы</w:t>
      </w:r>
      <w:r w:rsidR="00F416C6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этномәдени бірлестіктерін </w:t>
      </w:r>
      <w:r w:rsidR="00842D21" w:rsidRPr="00976BD3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F416C6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аккредиттеу </w:t>
      </w:r>
      <w:r w:rsidR="00AD091A" w:rsidRPr="00976BD3">
        <w:rPr>
          <w:rFonts w:ascii="Times New Roman" w:hAnsi="Times New Roman" w:cs="Times New Roman"/>
          <w:b/>
          <w:sz w:val="28"/>
          <w:szCs w:val="28"/>
          <w:lang w:val="kk-KZ"/>
        </w:rPr>
        <w:t>қағидалары</w:t>
      </w:r>
      <w:r w:rsidR="00F416C6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035C" w:rsidRPr="00976BD3" w:rsidRDefault="005A035C" w:rsidP="005A03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35C" w:rsidRPr="00976BD3" w:rsidRDefault="005A035C" w:rsidP="00DD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5A035C" w:rsidRPr="00976BD3" w:rsidRDefault="005A035C" w:rsidP="00F416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1.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халқы Ассамблеясының этномәдени бірлестіктерін қоғамдық аккредиттеу</w:t>
      </w:r>
      <w:r w:rsidR="00DC02F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дің осы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D091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қағидалары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9275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(бұдан әрі – Қағидалар) </w:t>
      </w:r>
      <w:r w:rsidR="00DC02F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халқы Ассамблеясы туралы</w:t>
      </w:r>
      <w:r w:rsidR="00DC02F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D091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Заңына сәйкес әзірленді және этномәдени бірлестіктерді</w:t>
      </w:r>
      <w:r w:rsidR="00AD091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олардың </w:t>
      </w:r>
      <w:r w:rsidR="005103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құрылымдық бөлімшелерін (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филиалдар мен </w:t>
      </w:r>
      <w:r w:rsidR="005103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өкілдіктер</w:t>
      </w:r>
      <w:r w:rsidR="0059275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ді</w:t>
      </w:r>
      <w:r w:rsidR="005103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8F0D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, сондай-ақ</w:t>
      </w:r>
      <w:r w:rsidR="00AD091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құрылтайшылары не мүшелері</w:t>
      </w:r>
      <w:r w:rsidR="008F0D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D091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этномәдени бірлестіктер (бұдан әрі – этномәдени бірлестіктер) болып табылатын </w:t>
      </w:r>
      <w:r w:rsidR="008F0D85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коммерциялық емес ұйымдарды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қоғамдық аккредиттеу тәртібін айқындайды.</w:t>
      </w:r>
    </w:p>
    <w:p w:rsidR="005A035C" w:rsidRPr="00976BD3" w:rsidRDefault="005A035C" w:rsidP="00433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>Этн</w:t>
      </w:r>
      <w:r w:rsidR="008E5D92">
        <w:rPr>
          <w:rFonts w:ascii="Times New Roman" w:hAnsi="Times New Roman" w:cs="Times New Roman"/>
          <w:sz w:val="28"/>
          <w:szCs w:val="28"/>
          <w:lang w:val="kk-KZ"/>
        </w:rPr>
        <w:t>омәдени бірлестіктер қызметі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халқы Ассамблеясы туралы» Қазақстан Республикасы Заңының өлшемшарттары мен талаптарына сәйкес деп тану 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оғамдық аккредиттеу деп түсініледі.</w:t>
      </w:r>
    </w:p>
    <w:p w:rsidR="005A035C" w:rsidRPr="00976BD3" w:rsidRDefault="005A035C" w:rsidP="00475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бөлімшелер деп этномәдени бірлестіктердің </w:t>
      </w:r>
      <w:r w:rsidR="00241ED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филиалдары мен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өкілдіктері, сондай-ақ этномәдени бірлестіктердің қауымдастығы (одағы) </w:t>
      </w:r>
      <w:r w:rsidR="00245CD8" w:rsidRPr="00976BD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қор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құрамындағы этномәдени бірлестіктер түсініледі.  </w:t>
      </w:r>
    </w:p>
    <w:p w:rsidR="005A035C" w:rsidRPr="00976BD3" w:rsidRDefault="0047514E" w:rsidP="00475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тномәдени бірлестікт</w:t>
      </w:r>
      <w:r w:rsidR="00A95C28" w:rsidRPr="00976BD3"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 Қазақстан халқы Ассамблеясының этномәдени бірлестіктерінің 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ізіліміне (бұдан әрі – </w:t>
      </w:r>
      <w:r w:rsidR="00487DD0" w:rsidRPr="00976B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ізілім) енгізу</w:t>
      </w:r>
      <w:r w:rsidR="008F0D85" w:rsidRPr="00976BD3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тізілімінен </w:t>
      </w:r>
      <w:r w:rsidR="00245CD8" w:rsidRPr="00976BD3"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қоғамдық аккредиттеудің нәтижесі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5A035C" w:rsidRPr="00976BD3" w:rsidRDefault="005A035C" w:rsidP="0043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Тізілім Қазақстан халқы Ассамблеясының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0BA" w:rsidRPr="00976BD3">
        <w:rPr>
          <w:rFonts w:ascii="Times New Roman" w:hAnsi="Times New Roman" w:cs="Times New Roman"/>
          <w:iCs/>
          <w:sz w:val="28"/>
          <w:szCs w:val="28"/>
          <w:lang w:val="kk-KZ"/>
        </w:rPr>
        <w:t>(бұдан әрі –</w:t>
      </w:r>
      <w:r w:rsidR="00842D21" w:rsidRPr="00976BD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4370BA" w:rsidRPr="00976BD3">
        <w:rPr>
          <w:rFonts w:ascii="Times New Roman" w:hAnsi="Times New Roman" w:cs="Times New Roman"/>
          <w:iCs/>
          <w:sz w:val="28"/>
          <w:szCs w:val="28"/>
          <w:lang w:val="kk-KZ"/>
        </w:rPr>
        <w:t>ҚХА)</w:t>
      </w:r>
      <w:r w:rsidRPr="00976BD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порталынд</w:t>
      </w:r>
      <w:r w:rsidR="00245CD8" w:rsidRPr="00976BD3">
        <w:rPr>
          <w:rFonts w:ascii="Times New Roman" w:hAnsi="Times New Roman" w:cs="Times New Roman"/>
          <w:sz w:val="28"/>
          <w:szCs w:val="28"/>
          <w:lang w:val="kk-KZ"/>
        </w:rPr>
        <w:t>а орналастырылады және ашық қол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жетімді</w:t>
      </w:r>
      <w:r w:rsidR="00E01A72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01A72" w:rsidRPr="00976BD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5A035C" w:rsidRPr="00976BD3" w:rsidRDefault="005A035C" w:rsidP="0043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Тізілімді жүргізуді Қазақстан Республикасы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Ақпарат және қоғамдық даму министрлігінің «Қоғ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амдық келісім</w:t>
      </w:r>
      <w:r w:rsidR="00F900B6" w:rsidRPr="00976BD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261F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мемлекеттік мекемесі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634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«Қоғамдық келісім» РММ)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қамтамасыз етеді.</w:t>
      </w:r>
    </w:p>
    <w:p w:rsidR="005A035C" w:rsidRPr="00976BD3" w:rsidRDefault="005A035C" w:rsidP="00912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4. Қоғамдық аккредиттеудің </w:t>
      </w:r>
      <w:r w:rsidR="00C31C09" w:rsidRPr="00976BD3">
        <w:rPr>
          <w:rFonts w:ascii="Times New Roman" w:hAnsi="Times New Roman" w:cs="Times New Roman"/>
          <w:sz w:val="28"/>
          <w:szCs w:val="28"/>
          <w:lang w:val="kk-KZ"/>
        </w:rPr>
        <w:t>қолданылу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мерзімі </w:t>
      </w:r>
      <w:r w:rsidR="00CA5532" w:rsidRPr="00976BD3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</w:t>
      </w:r>
      <w:r w:rsidR="00DD6817" w:rsidRPr="00976BD3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Тізілімге енгізілген күн</w:t>
      </w:r>
      <w:r w:rsidR="00DD6817" w:rsidRPr="00976BD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нен бастап 3 жыл.  </w:t>
      </w:r>
    </w:p>
    <w:p w:rsidR="005A035C" w:rsidRPr="00976BD3" w:rsidRDefault="005A035C" w:rsidP="00CD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>Қоғамдық аккредиттеуге р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еспубликалық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өңірлік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, жергілікті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бірлестіктер</w:t>
      </w:r>
      <w:r w:rsidR="004370B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жатады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035C" w:rsidRPr="00976BD3" w:rsidRDefault="004370BA" w:rsidP="00973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5A035C" w:rsidRPr="00976BD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867AA" w:rsidRPr="00976BD3">
        <w:rPr>
          <w:rFonts w:ascii="Times New Roman" w:hAnsi="Times New Roman" w:cs="Times New Roman"/>
          <w:sz w:val="28"/>
          <w:szCs w:val="28"/>
          <w:lang w:val="kk-KZ"/>
        </w:rPr>
        <w:t>ағидалар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7867A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51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«Қоғамдық келісім» </w:t>
      </w:r>
      <w:r w:rsidR="000D14E2" w:rsidRPr="00976BD3">
        <w:rPr>
          <w:rFonts w:ascii="Times New Roman" w:hAnsi="Times New Roman" w:cs="Times New Roman"/>
          <w:sz w:val="28"/>
          <w:szCs w:val="28"/>
          <w:lang w:val="kk-KZ"/>
        </w:rPr>
        <w:t>РММ</w:t>
      </w:r>
      <w:r w:rsidR="007867AA" w:rsidRPr="00976BD3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ұсынуы бойынша </w:t>
      </w:r>
      <w:r w:rsidR="00842D21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ҚХА</w:t>
      </w:r>
      <w:r w:rsidR="007867AA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Кеңесі бекітеді.</w:t>
      </w:r>
    </w:p>
    <w:p w:rsidR="00842D21" w:rsidRPr="00976BD3" w:rsidRDefault="00842D21" w:rsidP="00973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D21" w:rsidRPr="00976BD3" w:rsidRDefault="00842D21" w:rsidP="00973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035C" w:rsidRPr="00976BD3" w:rsidRDefault="005A035C" w:rsidP="00DD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03EDB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867AA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аккредиттеу </w:t>
      </w:r>
      <w:r w:rsidR="00303EDB" w:rsidRPr="00976BD3">
        <w:rPr>
          <w:rFonts w:ascii="Times New Roman" w:hAnsi="Times New Roman" w:cs="Times New Roman"/>
          <w:b/>
          <w:sz w:val="28"/>
          <w:szCs w:val="28"/>
          <w:lang w:val="kk-KZ"/>
        </w:rPr>
        <w:t>жүргізу тәртібі</w:t>
      </w:r>
    </w:p>
    <w:p w:rsidR="004370BA" w:rsidRPr="00976BD3" w:rsidRDefault="004370BA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7</w:t>
      </w:r>
      <w:r w:rsidR="005A035C" w:rsidRPr="00976BD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4173" w:rsidRPr="00976B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ккредит</w:t>
      </w:r>
      <w:r w:rsidR="007867AA" w:rsidRPr="00976BD3">
        <w:rPr>
          <w:rFonts w:ascii="Times New Roman" w:hAnsi="Times New Roman" w:cs="Times New Roman"/>
          <w:sz w:val="28"/>
          <w:szCs w:val="28"/>
          <w:lang w:val="kk-KZ"/>
        </w:rPr>
        <w:t>теу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жүргізу мақсатында 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құрылады, оның құрамы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ің қатарынан жасақталады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ҚХА Кеңесі бекіт</w:t>
      </w:r>
      <w:r w:rsidR="00834E10" w:rsidRPr="00976BD3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(Қағидалар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3-қосымша)</w:t>
      </w:r>
      <w:r w:rsidR="00834E10"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34E10" w:rsidRPr="00976BD3" w:rsidRDefault="00834E10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құрамына мемлекеттік органдардың, қоғамдық келісім мен жалпыұлттық бірлікті нығайтуға қатысатын азаматтық қоғам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мекемелері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мен институттары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ның өкілдері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енгізілуі мүмкін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бұл ретте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олардың саны 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 құрамын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1/3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-інен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аспа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йды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A035C" w:rsidRPr="00976BD3" w:rsidRDefault="00834E10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8.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Қағидаларға сәйкес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34E10" w:rsidRPr="00976BD3" w:rsidRDefault="00834E10" w:rsidP="00834E10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республикалық этномәдени бірлестікт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сон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>дай-ақ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5201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құрылтайшылары не мүшелері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этномәдени бірлестіктер болып табылатын </w:t>
      </w:r>
      <w:r w:rsidR="006B52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емес емес ұйымдар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>(заңды тұлғалардың бірлестіктері, қор)</w:t>
      </w:r>
      <w:r w:rsidR="000267ED"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үшін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қоғамдық аккредиттеуді</w:t>
      </w:r>
      <w:r w:rsidR="009B04D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42D21"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ккредиттеу </w:t>
      </w:r>
      <w:r w:rsidR="000267ED"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жөніндегі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республикалық </w:t>
      </w:r>
      <w:r w:rsidR="000267ED"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</w:t>
      </w:r>
      <w:r w:rsidRPr="00976B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омиссия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(бұдан әрі – </w:t>
      </w:r>
      <w:r w:rsidR="00842D21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</w:t>
      </w:r>
      <w:r w:rsidR="00054173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еспубликалық к</w:t>
      </w:r>
      <w:r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омиссия</w:t>
      </w:r>
      <w:r w:rsidR="000C2FFC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);</w:t>
      </w:r>
    </w:p>
    <w:p w:rsidR="000C2FFC" w:rsidRPr="00976BD3" w:rsidRDefault="000C2FFC" w:rsidP="008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өңірлік, жергілікті этномәдени бірлестікт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р, олардың құрылымдық бөлімшелері (филиалдар мен өкілдіктер),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және өңірлік 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этномәдени бірлестіктердің құрылымдық бөлімшелері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(филиалдар мен өкілдіктер)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үшін қоғамдық аккредиттеуді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Нұр-Сұлтан, Алматы, Шымкент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қалаларының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және облыстардың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жанындағы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="009B04DA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өңірлік комиссия</w:t>
      </w:r>
      <w:r w:rsidRPr="00976B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05CA9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(бұдан әрі – </w:t>
      </w:r>
      <w:r w:rsidR="00842D21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ө</w:t>
      </w:r>
      <w:r w:rsidR="00A05CA9"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ңірлік к</w:t>
      </w:r>
      <w:r w:rsidRPr="00976B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омиссия)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</w:t>
      </w:r>
      <w:r w:rsidRPr="00976BD3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.</w:t>
      </w:r>
    </w:p>
    <w:p w:rsidR="000C2FFC" w:rsidRPr="00976BD3" w:rsidRDefault="000C2FFC" w:rsidP="005A03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5A035C" w:rsidRPr="00976BD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төраға басқарады, ол оның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шылық етіп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отырыс</w:t>
      </w:r>
      <w:r w:rsidR="001A42F8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ына төрағалық ете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оның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жұмысын жоспарлай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ды,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шешімдерінің іске асырылуын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жалпы бақыла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уды жүзеге асырады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3C82" w:rsidRPr="00976BD3" w:rsidRDefault="000C2FF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A035C" w:rsidRPr="00976B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B3C82" w:rsidRPr="00976BD3">
        <w:rPr>
          <w:rFonts w:ascii="Times New Roman" w:hAnsi="Times New Roman" w:cs="Times New Roman"/>
          <w:bCs/>
          <w:sz w:val="28"/>
          <w:szCs w:val="28"/>
          <w:lang w:val="kk-KZ"/>
        </w:rPr>
        <w:t>10.</w:t>
      </w:r>
      <w:r w:rsidR="000267ED" w:rsidRPr="00976B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Мыналарды</w:t>
      </w:r>
      <w:r w:rsidR="005B3C82" w:rsidRPr="00976BD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A035C" w:rsidRPr="00976BD3" w:rsidRDefault="005B3C82" w:rsidP="005B3C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еспубликалық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омиссияны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ң жұмысын ұйымдастырушылық-техникалық қамтамасыз етуді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азақстан Республикасы Ақпарат және қоғамдық даму министрлігінің «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F54865" w:rsidRPr="00976BD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РММ </w:t>
      </w:r>
      <w:r w:rsidR="005A035C" w:rsidRPr="00976BD3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842D21" w:rsidRPr="00976BD3">
        <w:rPr>
          <w:rFonts w:ascii="Times New Roman" w:hAnsi="Times New Roman" w:cs="Times New Roman"/>
          <w:i/>
          <w:sz w:val="28"/>
          <w:szCs w:val="28"/>
          <w:lang w:val="kk-KZ"/>
        </w:rPr>
        <w:t>республикалық комиссияның ж</w:t>
      </w:r>
      <w:r w:rsidR="005A035C" w:rsidRPr="00976BD3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жүзеге асырады;</w:t>
      </w:r>
    </w:p>
    <w:p w:rsidR="005B3C82" w:rsidRPr="00976BD3" w:rsidRDefault="005B3C82" w:rsidP="005B3C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ңірлік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7ED" w:rsidRPr="00976BD3">
        <w:rPr>
          <w:rFonts w:ascii="Times New Roman" w:hAnsi="Times New Roman" w:cs="Times New Roman"/>
          <w:sz w:val="28"/>
          <w:szCs w:val="28"/>
          <w:lang w:val="kk-KZ"/>
        </w:rPr>
        <w:t>комиссияның жұмысын ұйымдастырушылық-техникалық қамтамасыз етуді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тиісті өңірдің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Ішкі саясат/Қоғамдық даму басқармаларының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«Қоғамдық келісім» КММ </w:t>
      </w:r>
      <w:r w:rsidRPr="00976BD3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842D21" w:rsidRPr="00976BD3">
        <w:rPr>
          <w:rFonts w:ascii="Times New Roman" w:hAnsi="Times New Roman" w:cs="Times New Roman"/>
          <w:i/>
          <w:sz w:val="28"/>
          <w:szCs w:val="28"/>
          <w:lang w:val="kk-KZ"/>
        </w:rPr>
        <w:t>өңірлік комиссияның ж</w:t>
      </w:r>
      <w:r w:rsidRPr="00976BD3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421EFD" w:rsidRPr="00976BD3" w:rsidRDefault="005A035C" w:rsidP="00421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Cs/>
          <w:sz w:val="28"/>
          <w:szCs w:val="28"/>
          <w:lang w:val="kk-KZ"/>
        </w:rPr>
        <w:t>11.</w:t>
      </w:r>
      <w:r w:rsidR="005B3C82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хатшысын </w:t>
      </w:r>
      <w:r w:rsidR="00CE16F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 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>жауапты құрылымдық бөлімше қызметкерлерінің ішінен тағайындайды және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мүшесі болып табылмайды.</w:t>
      </w:r>
    </w:p>
    <w:p w:rsidR="00421EFD" w:rsidRPr="00976BD3" w:rsidRDefault="00CB295F" w:rsidP="00421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Хатшы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21EFD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жұмысын ұйымдастыруды, отырыстардың өткізілуін дайындауды және өз құзыреті шегінде өзге де функцияларды жүзеге асырады.</w:t>
      </w:r>
    </w:p>
    <w:p w:rsidR="005A035C" w:rsidRPr="00976BD3" w:rsidRDefault="005A035C" w:rsidP="00421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D44CBF" w:rsidRPr="00976BD3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="00D44CB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ың жұмыс отырыстарының материалдары отырысқа дейін кемінде үш жұмыс күні бұрын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44CBF" w:rsidRPr="00976BD3">
        <w:rPr>
          <w:rFonts w:ascii="Times New Roman" w:hAnsi="Times New Roman" w:cs="Times New Roman"/>
          <w:sz w:val="28"/>
          <w:szCs w:val="28"/>
          <w:lang w:val="kk-KZ"/>
        </w:rPr>
        <w:t>омиссияның әрбір мүшесіне жеткізіледі.</w:t>
      </w:r>
    </w:p>
    <w:p w:rsidR="00D44CBF" w:rsidRPr="00976BD3" w:rsidRDefault="00D44CBF" w:rsidP="00D44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lastRenderedPageBreak/>
        <w:t>13. Комиссия</w:t>
      </w:r>
      <w:r w:rsidR="001267EA" w:rsidRPr="00976BD3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42F8">
        <w:rPr>
          <w:rFonts w:ascii="Times New Roman" w:hAnsi="Times New Roman" w:cs="Times New Roman"/>
          <w:sz w:val="28"/>
          <w:szCs w:val="28"/>
          <w:lang w:val="kk-KZ"/>
        </w:rPr>
        <w:t xml:space="preserve">отырыстары қажеттілігіне қарай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өткізіледі және оған </w:t>
      </w:r>
      <w:r w:rsidR="00842D2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мүшелері жалпы санының кемінде жартысы қатысса (қарауға қатысса), 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құқықтық күші бар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D44CBF" w:rsidRPr="00976BD3" w:rsidRDefault="00D44CBF" w:rsidP="00D44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Комиссия мүшесі</w:t>
      </w:r>
      <w:r w:rsidR="00CE16FB" w:rsidRPr="00976BD3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тырысқа қатысу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мүмкін болмаған кезде </w:t>
      </w:r>
      <w:r w:rsidR="00CE16F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отырысқа дейін кемінде бір күн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бұрын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келмей қалу себептерін көрсете отырып, бұл туралы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органына хабарлайды.</w:t>
      </w:r>
    </w:p>
    <w:p w:rsidR="00D44CBF" w:rsidRPr="00976BD3" w:rsidRDefault="00D44CBF" w:rsidP="00D44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15. Комиссия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шұғыл мәселелерді қарау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қажет болған жағдайда,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 төрағасының шешімі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олар бойынша сырттай дауыс беру өткізілуі мүмкін.</w:t>
      </w:r>
    </w:p>
    <w:p w:rsidR="00D44CBF" w:rsidRPr="00976BD3" w:rsidRDefault="00D44CBF" w:rsidP="00D44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Комиссия мүшелерінің сырттай дауыс беру мерзімі мәселе бойынша материалдар дауыс беру</w:t>
      </w:r>
      <w:r w:rsidR="00CB295F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жіберілген күннен бастап 3 жұмыс күнінен аспауға тиіс.</w:t>
      </w:r>
    </w:p>
    <w:p w:rsidR="00D44CBF" w:rsidRPr="00976BD3" w:rsidRDefault="00D44CBF" w:rsidP="00D44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Сырттай дауыс беру мерзімі аяқталғанға дейін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мүшелері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органына жазбаша жауаптар жібереді, онда өз пікірін білдіреді. Көрсетілген мерзімде жазбаша жауап ұсынылмаған жағдайда, </w:t>
      </w:r>
      <w:r w:rsidR="00711704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мүшесі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жақтап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 деп есептеледі. Комиссия мүшелері </w:t>
      </w:r>
      <w:r w:rsidR="00AA67A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дауыс беруді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ауыстыру құқығынсыз жүзеге асырады.</w:t>
      </w:r>
    </w:p>
    <w:p w:rsidR="002F451B" w:rsidRPr="00976BD3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035C" w:rsidRPr="00976BD3" w:rsidRDefault="005A035C" w:rsidP="00E4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3A4401" w:rsidRPr="00976BD3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175F90" w:rsidRPr="00976BD3">
        <w:rPr>
          <w:rFonts w:ascii="Times New Roman" w:hAnsi="Times New Roman" w:cs="Times New Roman"/>
          <w:b/>
          <w:sz w:val="28"/>
          <w:szCs w:val="28"/>
          <w:lang w:val="kk-KZ"/>
        </w:rPr>
        <w:t>омиссия</w:t>
      </w:r>
      <w:r w:rsidR="003A4401" w:rsidRPr="00976BD3">
        <w:rPr>
          <w:rFonts w:ascii="Times New Roman" w:hAnsi="Times New Roman" w:cs="Times New Roman"/>
          <w:b/>
          <w:sz w:val="28"/>
          <w:szCs w:val="28"/>
          <w:lang w:val="kk-KZ"/>
        </w:rPr>
        <w:t>ның материалдарды</w:t>
      </w:r>
      <w:r w:rsidR="00175F90"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қарау</w:t>
      </w:r>
      <w:r w:rsidR="003A4401" w:rsidRPr="00976BD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16. Қоғамдық аккредиттеуге қатысу және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ізілімге енгізу үшін этномәдени бірлестік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тиісті 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омиссияға мынадай құжаттарды ұсынады:</w:t>
      </w:r>
    </w:p>
    <w:p w:rsidR="00175F90" w:rsidRPr="00976BD3" w:rsidRDefault="00936C13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Қағидаларға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1-қосымшаға сәйкес нысан бойынша өтініш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2) осы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Қағидаларға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2-қосымшаға сәйкес этномәдени бір</w:t>
      </w:r>
      <w:r w:rsidR="00936C13" w:rsidRPr="00976BD3">
        <w:rPr>
          <w:rFonts w:ascii="Times New Roman" w:hAnsi="Times New Roman" w:cs="Times New Roman"/>
          <w:sz w:val="28"/>
          <w:szCs w:val="28"/>
          <w:lang w:val="kk-KZ"/>
        </w:rPr>
        <w:t>лестіктің, филиалдың паспорты;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3) этномәдени бірлестіктің мөрімен расталған Жарғының көшірмесі.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17. Құжаттарды қараудың және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ың қоғамдық аккредиттеу туралы шешім қабылдауының жалпы мерзімі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 құжаттар топтамасын қабылдаған күннен бастап отыз жұмыс күнінен аспауға тиіс.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18. Құжаттардың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толық еместігі немесе Қағидалардың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талаптарына сәйкес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келмейтіні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жағдайда,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 анықталған кемшіліктер жойылғанға дейін өтінішті қарауды тоқтата тұрады және бұл туралы этномәдени бірлестікті хабардар етеді. Бұл ретте осы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Қағидалардың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17-тармағында белгіленген құжаттарды қарау мерзімі үзіледі.</w:t>
      </w:r>
    </w:p>
    <w:p w:rsidR="00175F90" w:rsidRPr="00976BD3" w:rsidRDefault="00AA67A1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тномәдени бірлестіктің талап етілетін құжаттары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органына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күннен бастап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қарау мерзімі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қайта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жалғастырылады.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ұжаттардың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толық еместігін немесе Қағидалардың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талаптарына сәйкес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келмейтінін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омиссияның тікелей өзі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анықтаған жағдайда, құжаттар этномәдени бірлестікке қайтарылуға жатады.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Анықталған бұзушылықтар жойылғаннан кейін этномәдени бірлестік жалпы негіздерде қоғамдық аккредиттеу жүргізу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өтінішпен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тиісті к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омиссияға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қайтадан жүгінуге құқылы.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Қажет болған жағдайда,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 не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өтініш берушіден не уәкілетті органдардан 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өзге де құжаттарды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қосымша сұратуы мүмкін.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20. Қарау нәтижелері бойынша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омиссия:</w:t>
      </w:r>
    </w:p>
    <w:p w:rsidR="00175F90" w:rsidRPr="00976BD3" w:rsidRDefault="00DE5D44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E5D4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бірлестікті аккредиттеу туралы;</w:t>
      </w:r>
    </w:p>
    <w:p w:rsidR="00175F90" w:rsidRPr="00976BD3" w:rsidRDefault="00DE5D44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бірлестікті аккредиттеуден бас тарту туралы;</w:t>
      </w:r>
    </w:p>
    <w:p w:rsidR="00175F90" w:rsidRPr="00976BD3" w:rsidRDefault="00DE5D44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бірлестікті аккредиттеу туралы шешімнің күшін жою туралы;</w:t>
      </w:r>
    </w:p>
    <w:p w:rsidR="00175F90" w:rsidRPr="00976BD3" w:rsidRDefault="00DE5D44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аккредиттеу мерзімін ұзарту немесе ұзартудан бас тарту туралы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шешім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5F90" w:rsidRPr="00976BD3" w:rsidRDefault="00DE5D44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қоғамдық аккредиттеу рәсіміне байланысты өзге де шешімдер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E721A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қабылдайды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21. Комиссияның шешімі отырысқа қатысып отырған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 мүшелері санының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қарапайым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көпшілік дау</w:t>
      </w:r>
      <w:r w:rsidR="00E440D4" w:rsidRPr="00976BD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сымен қабылданады.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Дауыстар тең болған жағдайда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төрағаның дауысы шешуші болып табылады.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абылда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тын шешімдер хаттамамен ресімделеді, оған төрағалық етуші қол қояды.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Комиссия отырысында құжаттарды қарау және хаттамаға қол қою екі жұмыс күні ішінде жүзеге асырылады.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23. Комиссия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шешімдері қабылданған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кезінен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бастап екі жұмыс күні ішінде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органына жіберіледі және Тізілімге өзгерістер енгізу (этномәдени бірлестікті енгізу/шығару) үшін негіз болып табылады.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органы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шешім алынған кезден бастап екі жұмыс күні ішінде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қабылдаған шешім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лайды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органы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өтініш алынған кезден бастап бес жұмыс күні ішінде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этномәдени бірлестіктің өтініші бойынша аккредиттеуден жазбаша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уәж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ді бас тартуды жібереді.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24. Комиссия мүшелерінің ерекше пікірлері, олар білдірілген жағдайда, жазбаша түрде баяндалады және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хаттамасына қоса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леді</w:t>
      </w:r>
      <w:r w:rsidR="00F34697"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25. Аккредиттеуден бас тарту және</w:t>
      </w:r>
      <w:r w:rsidR="00F34697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(немесе) аккредиттеу туралы шешімнің күшін жою үшін: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1) этномәдени бірлестік мақсаттарының, міндеттерінің және (немесе)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оның негізгі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F34697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бағыттарының «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Қаз</w:t>
      </w:r>
      <w:r w:rsidR="00F34697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ақстан халқы Ассамблеясы туралы»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Заңының ережелеріне сәйкес келмеуі;</w:t>
      </w:r>
    </w:p>
    <w:p w:rsidR="00175F90" w:rsidRPr="00976BD3" w:rsidRDefault="00F34697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2) ұ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сынылған құжаттардың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Қағидалар </w:t>
      </w:r>
      <w:r w:rsidR="00175F90" w:rsidRPr="00976BD3">
        <w:rPr>
          <w:rFonts w:ascii="Times New Roman" w:hAnsi="Times New Roman" w:cs="Times New Roman"/>
          <w:sz w:val="28"/>
          <w:szCs w:val="28"/>
          <w:lang w:val="kk-KZ"/>
        </w:rPr>
        <w:t>талаптарына сәйкес келмеуі;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3) этномәдени бірлестік жұмысы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ұзақтығы мемлекеттік тіркелген күннен бастап 1 жылдан аз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болуы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5F90" w:rsidRPr="00976BD3" w:rsidRDefault="00175F90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4) этномәдени бірлестіктің құжаттарында анық емес және (немесе) бұрмаланған ақпараттың болуы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негіз болып табылады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747E" w:rsidRPr="00976BD3" w:rsidRDefault="00175F90" w:rsidP="00A87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="00E9318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Қағидалардың </w:t>
      </w:r>
      <w:r w:rsidR="00E93183" w:rsidRPr="00976BD3">
        <w:rPr>
          <w:rFonts w:ascii="Times New Roman" w:hAnsi="Times New Roman" w:cs="Times New Roman"/>
          <w:sz w:val="28"/>
          <w:szCs w:val="28"/>
          <w:lang w:val="kk-KZ"/>
        </w:rPr>
        <w:t>25-тармағында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 негіздер анықталған кезде</w:t>
      </w:r>
      <w:r w:rsidR="00E9318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(облыстар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республикалық маңызы бар қалалар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астана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lastRenderedPageBreak/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атшылығы </w:t>
      </w:r>
      <w:r w:rsidR="00AC7FFC" w:rsidRPr="00976B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ізілімге тиісті белгі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енгізу арқылы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бірлестікті қоғамдық аккредиттеу туралы шешімнің күшін жою мәселесін қарау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ды ұсына отырып,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миссияға ұсын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жібереді.</w:t>
      </w:r>
    </w:p>
    <w:p w:rsidR="00F34697" w:rsidRPr="00976BD3" w:rsidRDefault="00F34697" w:rsidP="0017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747E" w:rsidRPr="00976BD3" w:rsidRDefault="00AE747E" w:rsidP="00E440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="00C730FF" w:rsidRPr="00976B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Этномәдени бірлестікті </w:t>
      </w:r>
      <w:r w:rsidR="00A879D3" w:rsidRPr="00976BD3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>Тізілімнен шығару</w:t>
      </w:r>
      <w:r w:rsidR="00C730FF" w:rsidRPr="00976B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негіздері мен тәртібі</w:t>
      </w:r>
    </w:p>
    <w:p w:rsidR="00A879D3" w:rsidRPr="00976B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5D4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қоғамдық аккредиттеу және (немесе) аккредиттеу туралы шешімнің күшін жою туралы шешімі қабылданған күнінен бастап 2 жұмыс күнінен кешіктірмей, этномәдени бірлестікті Тізілімге енгізу/Тізілімнен шығару үшін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879D3"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органына беріледі.</w:t>
      </w:r>
    </w:p>
    <w:p w:rsidR="00A879D3" w:rsidRPr="00976BD3" w:rsidRDefault="00A879D3" w:rsidP="00A87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FA4FD4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Мынадай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79D3" w:rsidRPr="00976BD3" w:rsidRDefault="00A879D3" w:rsidP="00A87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1) этномәдени бірлестік қайта ұйымдастыр</w:t>
      </w:r>
      <w:r w:rsidR="00792E91" w:rsidRPr="00976BD3">
        <w:rPr>
          <w:rFonts w:ascii="Times New Roman" w:hAnsi="Times New Roman" w:cs="Times New Roman"/>
          <w:sz w:val="28"/>
          <w:szCs w:val="28"/>
          <w:lang w:val="kk-KZ"/>
        </w:rPr>
        <w:t>ылған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немесе тарат</w:t>
      </w:r>
      <w:r w:rsidR="00792E91" w:rsidRPr="00976BD3">
        <w:rPr>
          <w:rFonts w:ascii="Times New Roman" w:hAnsi="Times New Roman" w:cs="Times New Roman"/>
          <w:sz w:val="28"/>
          <w:szCs w:val="28"/>
          <w:lang w:val="kk-KZ"/>
        </w:rPr>
        <w:t>ылған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879D3" w:rsidRPr="00976BD3" w:rsidRDefault="00A879D3" w:rsidP="00A87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(облыстардың, республикалық маңызы бар қалалардың, астананың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) хатшылығының этномәдени бірлестіктің қызметі «Қазақстан халқы Ассамблеясы туралы» Қазақстан Республикасы Заңының ережелеріне және осы Қағидалардың талаптарына сәйкес келмейтіні туралы ұсынуы негізінде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омиссияның шешімі;</w:t>
      </w:r>
    </w:p>
    <w:p w:rsidR="00A879D3" w:rsidRPr="00976BD3" w:rsidRDefault="00A879D3" w:rsidP="00A87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(облыстар</w:t>
      </w:r>
      <w:r w:rsidR="005D4348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республикалық маңызы бар қалалар</w:t>
      </w:r>
      <w:r w:rsidR="005D4348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, астананың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кеңестерінің) этномәдени бірлестікті аккредиттеу туралы шешімнің күшін жою туралы шешімі</w:t>
      </w:r>
      <w:r w:rsidR="00FA4FD4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2E9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болған жағдайда </w:t>
      </w:r>
      <w:r w:rsidR="00FA4FD4"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бірлестікті қоғамдық аккредиттеу тоқтатылады.</w:t>
      </w:r>
    </w:p>
    <w:p w:rsidR="00D43E8B" w:rsidRPr="00976BD3" w:rsidRDefault="00FA4FD4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 қайта ұйымдастырылған жағдайда, ол бір ай мерзімде осы Қағидаларға 1 және 2-қосымшаларға сәйкес нысан бойынша өтініш пен құжаттарды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тиісті к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>омиссияға ұсынады.</w:t>
      </w:r>
    </w:p>
    <w:p w:rsidR="00D43E8B" w:rsidRPr="00976BD3" w:rsidRDefault="00D43E8B" w:rsidP="00D4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A42F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. Этномәдени бірлестік</w:t>
      </w:r>
      <w:r w:rsidR="00820AF7" w:rsidRPr="00976BD3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атауы немесе заңды мекенжайы өзгерген жағдайда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AF7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он бес жұмыс күні ішінде бұл туралы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 хабардар етеді.</w:t>
      </w:r>
    </w:p>
    <w:p w:rsidR="00D43E8B" w:rsidRPr="00976BD3" w:rsidRDefault="00D43E8B" w:rsidP="00D4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органы 3 жұмыс күні ішінде бұл туралы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ҚХА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(облыстар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республикалық маңызы бар қалалар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, астана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>ҚХА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) хатшылығын хабардар етеді.</w:t>
      </w:r>
    </w:p>
    <w:p w:rsidR="00D43E8B" w:rsidRPr="00976BD3" w:rsidRDefault="00D43E8B" w:rsidP="00D4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ҚХА-ның өңірлік хатшылықтары одан әрі Тізілімге өзгерістер</w:t>
      </w:r>
      <w:r w:rsidR="003A4401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мен толықтырулар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енгізу үшін 5 жұмыс күні ішінде Қазақстан Республикасы Ақпарат және қоғамдық даму министрлігінің «Қоғамдық келісім» РММ-ны хабардар етеді.</w:t>
      </w:r>
    </w:p>
    <w:p w:rsidR="00D43E8B" w:rsidRPr="00976BD3" w:rsidRDefault="00D43E8B" w:rsidP="00D43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E8B" w:rsidRPr="00976BD3" w:rsidRDefault="00D43E8B" w:rsidP="00D4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Этномәдени бірлестікті қоғамдық аккредиттеу туралы </w:t>
      </w: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br/>
        <w:t>шешімнің мерзімін ұзарту негіздері мен тәртібі</w:t>
      </w:r>
    </w:p>
    <w:p w:rsidR="005A035C" w:rsidRPr="00976BD3" w:rsidRDefault="001A42F8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Этномәдени бірлестік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қоғамдық аккредиттеу мерзімі аяқталғанға дейін бір айдан кешіктірмей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A65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органына аккредиттеу мерзімін ұзарту туралы өтініш береді.</w:t>
      </w:r>
    </w:p>
    <w:p w:rsidR="005A035C" w:rsidRPr="00976B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Өтінішке этномәдени бірлестіктің</w:t>
      </w:r>
      <w:r w:rsidR="00D43E8B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A65" w:rsidRPr="00976BD3">
        <w:rPr>
          <w:rFonts w:ascii="Times New Roman" w:hAnsi="Times New Roman" w:cs="Times New Roman"/>
          <w:sz w:val="28"/>
          <w:szCs w:val="28"/>
          <w:lang w:val="kk-KZ"/>
        </w:rPr>
        <w:t>ҚХА-ның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мақсаттары мен міндеттерін іске асыру </w:t>
      </w:r>
      <w:r w:rsidR="009019F0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бойынша оның 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қызметіне қатысуы туралы ақпарат қоса беріледі.</w:t>
      </w:r>
    </w:p>
    <w:p w:rsidR="005A035C" w:rsidRPr="00976B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Мерзімді ұзарту мәселесі бойынша шешім қабылданғанға дейін этномәдени бірлестік</w:t>
      </w:r>
      <w:r w:rsidR="00203748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19F0" w:rsidRPr="00976B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ізілімде өз </w:t>
      </w:r>
      <w:r w:rsidR="00B92012" w:rsidRPr="00976BD3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н сақтайды. </w:t>
      </w:r>
    </w:p>
    <w:p w:rsidR="005A035C" w:rsidRPr="00976BD3" w:rsidRDefault="001A42F8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B92012"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 мерзімін ұзарту туралы өтініш </w:t>
      </w:r>
      <w:r w:rsidR="00A52A65" w:rsidRPr="00976BD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омиссияның  таяудағы отырысында қаралады. </w:t>
      </w:r>
    </w:p>
    <w:p w:rsidR="005A035C" w:rsidRPr="00976B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шешімі үш жұмыс күні ішінде </w:t>
      </w:r>
      <w:r w:rsidR="00A52A65" w:rsidRPr="00976B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>ұмыс органына беріледі.</w:t>
      </w:r>
    </w:p>
    <w:p w:rsidR="005A035C" w:rsidRPr="00976B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sz w:val="28"/>
          <w:szCs w:val="28"/>
          <w:lang w:val="kk-KZ"/>
        </w:rPr>
        <w:t>Комиссияның оң шешімі болған жағдайда</w:t>
      </w:r>
      <w:r w:rsidR="00203748" w:rsidRPr="00976B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 мерзімі келесі үш жылға ұзартылады.</w:t>
      </w:r>
    </w:p>
    <w:p w:rsidR="00AE747E" w:rsidRPr="00976BD3" w:rsidRDefault="00AE747E" w:rsidP="00AE74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747E" w:rsidRPr="00976BD3" w:rsidRDefault="001E52F9" w:rsidP="00AE74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BD3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E747E" w:rsidRPr="00976BD3">
        <w:rPr>
          <w:rFonts w:ascii="Times New Roman" w:hAnsi="Times New Roman" w:cs="Times New Roman"/>
          <w:b/>
          <w:sz w:val="28"/>
          <w:szCs w:val="28"/>
          <w:lang w:val="kk-KZ"/>
        </w:rPr>
        <w:t>. Қорытынды ережелер</w:t>
      </w:r>
    </w:p>
    <w:p w:rsidR="00203748" w:rsidRDefault="001A42F8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81F0D" w:rsidRPr="00A81F0D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шешіміне этномәдени бірлестік </w:t>
      </w:r>
      <w:r w:rsidR="00A81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F0D" w:rsidRPr="00A81F0D">
        <w:rPr>
          <w:rFonts w:ascii="Times New Roman" w:hAnsi="Times New Roman" w:cs="Times New Roman"/>
          <w:sz w:val="28"/>
          <w:szCs w:val="28"/>
          <w:lang w:val="kk-KZ"/>
        </w:rPr>
        <w:t xml:space="preserve">ҚХА кеңесіне / ҚХА өңірлік кеңесіне 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шағым</w:t>
      </w:r>
      <w:r w:rsidR="00203748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жасай</w:t>
      </w:r>
      <w:r w:rsidR="007E1385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="005A035C" w:rsidRPr="00976B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03748" w:rsidRPr="00976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45A6" w:rsidRDefault="00DA45A6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5A6" w:rsidRPr="00976BD3" w:rsidRDefault="00DA45A6" w:rsidP="00DA45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203748" w:rsidRPr="00976BD3" w:rsidRDefault="00203748" w:rsidP="005A035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25F73" w:rsidRDefault="00A25F73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051E" w:rsidRDefault="0063051E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283B" w:rsidRDefault="0081283B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5F73" w:rsidRDefault="00A25F73" w:rsidP="002037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5F73" w:rsidRDefault="00A25F73" w:rsidP="00A25F7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C32A4">
        <w:rPr>
          <w:rFonts w:ascii="Times New Roman" w:hAnsi="Times New Roman" w:cs="Times New Roman"/>
          <w:i/>
          <w:sz w:val="24"/>
          <w:szCs w:val="24"/>
          <w:lang w:val="kk-KZ"/>
        </w:rPr>
        <w:t>* «облыстар, республикалық маңызы бар қалалар, Астана ҚХА Хатшылығы» ұғымы</w:t>
      </w:r>
      <w:r w:rsidR="00CD20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деп</w:t>
      </w:r>
      <w:r w:rsidRPr="00EC32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</w:t>
      </w:r>
      <w:r w:rsidR="00CD20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C32A4">
        <w:rPr>
          <w:rFonts w:ascii="Times New Roman" w:hAnsi="Times New Roman" w:cs="Times New Roman"/>
          <w:i/>
          <w:sz w:val="24"/>
          <w:szCs w:val="24"/>
          <w:lang w:val="kk-KZ"/>
        </w:rPr>
        <w:t>ішкі саясат/өңірлерді қоғамдық дамыту басқармасының этносаралық қызмет саласындағы құрылымдық бөлімшелері түсініледі</w:t>
      </w:r>
    </w:p>
    <w:p w:rsidR="0063051E" w:rsidRDefault="0063051E" w:rsidP="00A25F7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3051E" w:rsidRDefault="0063051E" w:rsidP="00A25F7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63051E" w:rsidRPr="0063051E" w:rsidTr="00A97BC9">
        <w:tc>
          <w:tcPr>
            <w:tcW w:w="5240" w:type="dxa"/>
          </w:tcPr>
          <w:p w:rsidR="0063051E" w:rsidRPr="0063051E" w:rsidRDefault="0063051E" w:rsidP="0063051E">
            <w:pPr>
              <w:spacing w:line="285" w:lineRule="atLeast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4105" w:type="dxa"/>
          </w:tcPr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2021 жылғы 22 қарашадағы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Қазақстан халқы Ассамблеясының этномәдени бірлестіктерін қоғамдық аккредиттеу қағидаларына</w:t>
            </w:r>
          </w:p>
          <w:p w:rsidR="0063051E" w:rsidRPr="0063051E" w:rsidRDefault="0063051E" w:rsidP="0063051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1-ҚОСЫМША</w:t>
            </w:r>
          </w:p>
        </w:tc>
      </w:tr>
    </w:tbl>
    <w:p w:rsidR="0063051E" w:rsidRPr="0063051E" w:rsidRDefault="0063051E" w:rsidP="0063051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63051E" w:rsidRPr="0063051E" w:rsidRDefault="0063051E" w:rsidP="00630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87"/>
      </w:tblGrid>
      <w:tr w:rsidR="0063051E" w:rsidRPr="0063051E" w:rsidTr="00A97BC9">
        <w:tc>
          <w:tcPr>
            <w:tcW w:w="4253" w:type="dxa"/>
          </w:tcPr>
          <w:p w:rsidR="0063051E" w:rsidRPr="0063051E" w:rsidRDefault="0063051E" w:rsidP="0063051E">
            <w:pPr>
              <w:spacing w:before="100" w:beforeAutospacing="1" w:afterAutospacing="1" w:line="28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5102" w:type="dxa"/>
          </w:tcPr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 w:eastAsia="ru-RU"/>
              </w:rPr>
              <w:t xml:space="preserve">Қазақстан халқы Ассамблеясының этномәдени бірлестіктерін қоғамдық аккредиттеу жөніндегі комиссияға  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val="kk-KZ" w:eastAsia="ru-RU"/>
              </w:rPr>
              <w:t xml:space="preserve"> __________________________________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(этномәдени бірлестіктің басшысы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(тегі, аты, әкесінің аты)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___________________________________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3051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(мекенжайы, телефоны, электрондық поштасы)</w:t>
            </w:r>
          </w:p>
        </w:tc>
      </w:tr>
    </w:tbl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</w:pPr>
    </w:p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kk-KZ" w:eastAsia="ru-RU"/>
        </w:rPr>
        <w:t>Өтініш</w:t>
      </w:r>
      <w:r w:rsidRPr="0063051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br/>
        <w:t xml:space="preserve"> 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     Сізден _________________________________________________________________ 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  <w:r w:rsidRPr="006305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  <w:t>(этномәдени бірлестіктің, құрылымдық бөлімшенің атауы)</w:t>
      </w:r>
    </w:p>
    <w:p w:rsidR="0063051E" w:rsidRPr="0063051E" w:rsidRDefault="0063051E" w:rsidP="0063051E">
      <w:pPr>
        <w:shd w:val="clear" w:color="auto" w:fill="FFFFFF"/>
        <w:spacing w:before="100" w:beforeAutospacing="1" w:after="0" w:afterAutospacing="1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қоғамдық аккредиттеуден өткізуді және Қазақстан халқы Ассамблеясы этномәдени бірлестіктерінің тізіліміне енгізуді сұраймын.                  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Өтінішке мынадай құжаттар қоса беріледі: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  <w:t>     1) 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  <w:t>     2) ____________________________________________________________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3) 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  <w:t>     4) 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  <w:t>     5) 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br/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p w:rsidR="0063051E" w:rsidRPr="0063051E" w:rsidRDefault="0063051E" w:rsidP="0063051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МО                                                                  20 __ ж. «____» ______________ </w:t>
      </w:r>
    </w:p>
    <w:p w:rsidR="0063051E" w:rsidRPr="0063051E" w:rsidRDefault="0063051E" w:rsidP="0063051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________________________________________________________________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</w:r>
      <w:r w:rsidRPr="006305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  <w:t>(басшыны қолы, тегі, аты, әкесінің аты)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Өтініш түскен күн 20 __ ж. «____» ______________ 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Тіркеу нөмірі 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  <w:t>_________________________________________________________________</w:t>
      </w:r>
      <w:r w:rsidRPr="0063051E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br/>
      </w:r>
      <w:r w:rsidRPr="006305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  <w:t>(жауапты адамның) қолы, тегі, аты, әкесінің аты)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__________________________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63051E" w:rsidRPr="0063051E" w:rsidTr="00A97BC9">
        <w:tc>
          <w:tcPr>
            <w:tcW w:w="5240" w:type="dxa"/>
          </w:tcPr>
          <w:p w:rsidR="0063051E" w:rsidRPr="0063051E" w:rsidRDefault="0063051E" w:rsidP="0063051E">
            <w:pPr>
              <w:spacing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4105" w:type="dxa"/>
          </w:tcPr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2021 жылғы 22 қарашадағы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Қазақстан халқы Ассамблеясының этномәдени бірлестіктерін қоғамдық аккредиттеу қағидаларына</w:t>
            </w:r>
          </w:p>
          <w:p w:rsidR="0063051E" w:rsidRPr="0063051E" w:rsidRDefault="0063051E" w:rsidP="0063051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2-ҚОСЫМША</w:t>
            </w:r>
          </w:p>
        </w:tc>
      </w:tr>
    </w:tbl>
    <w:p w:rsidR="0063051E" w:rsidRPr="0063051E" w:rsidRDefault="0063051E" w:rsidP="006305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kk-KZ" w:eastAsia="ru-RU"/>
        </w:rPr>
      </w:pPr>
    </w:p>
    <w:p w:rsidR="0063051E" w:rsidRPr="0063051E" w:rsidRDefault="0063051E" w:rsidP="006305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3051E" w:rsidRPr="0063051E" w:rsidRDefault="0063051E" w:rsidP="006305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ЭТНОМӘДЕНИ БІРЛЕСТІКТІҢ </w:t>
      </w:r>
    </w:p>
    <w:p w:rsidR="0063051E" w:rsidRPr="0063051E" w:rsidRDefault="0063051E" w:rsidP="006305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ПАСПОРТЫ</w:t>
      </w:r>
    </w:p>
    <w:p w:rsidR="0063051E" w:rsidRP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0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(этномәдени бірлестік басшысының өзі толтырады)</w:t>
      </w:r>
    </w:p>
    <w:p w:rsidR="0063051E" w:rsidRPr="0063051E" w:rsidRDefault="0063051E" w:rsidP="00630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1. Тіркелуі және орналасқан жері туралы мәліметтер: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ұйымдық-құқықтық нысаны және толық атауы;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заңды тұлғаны мемлекеттік тіркеу, заңды тұлғаны мемлекеттік қайта тіркеу күні мен нөмірі (мемлекеттік қайта тіркеу болған жағдайда көрсету);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тұрған жері, орналасқан жерінің заңды және нақты мекен-жайы;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бірлестіктің мәртебесі (республикалық, өңірлік, облыстық, қалалық, аудандық).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2. Басшылық туралы мәліметтер: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бірінші басшының Т.А.Ә., қысқаша өмірбаяны, жұмыс тәжірибесі, байланыс деректері; 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бірінші басшының орынбасарының (орынбасарларының) Т.А.Ә.,  байланыс деректерімен қоса;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оларды сайлау немесе тағайындау үшін негіз (жалпы жиналыс немесе басқа уәкілетті орган хаттамасының күні мен нөмірі).</w:t>
      </w:r>
    </w:p>
    <w:p w:rsidR="0063051E" w:rsidRPr="0063051E" w:rsidRDefault="0063051E" w:rsidP="0063051E">
      <w:pPr>
        <w:tabs>
          <w:tab w:val="left" w:pos="851"/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Құрылтайшылар туралы мәліметтер:  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құрылтайшылардың Т.А.Ә., байланыс деректері көрсетілген тізімі (егер құрылтайшы заңды тұлға болса, атауын, БСН, тіркеу нөмірінің аналогын көрсету).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4. Этномәдени бірлестік туралы мәліметтер:*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тіркелген мүшелер мен активтің саны;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штаттағы қызметкерлер саны;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меншігіндегі және жалға алынған үй-жайлардың болуы (алаңы (м²), олардың нысаналы мақсаты (музейлер, көрме залдары, сыныптары және т.б.);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қаржыландыру: көздері, көлемі, баламалы көздердің болуы (коммерциялық қызмет, демеушілік көмек және т.б.); 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БАҚ-тың (интернет-сайттың) болуы;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5. Филиалдар мен өкілдіктер: **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құрылымдық бөлімшенің (филиалдың/өкілдіктің) толық атауы;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есептік тіркелген, қайта тіркелген күні мен нөмірі (есептік қайта тіркеу болған жағдайда көрсету);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</w:rPr>
        <w:t>орналасқан жері (мекенжайы, байланыс деректері)</w:t>
      </w: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филиал (өкілдік) басшысының </w:t>
      </w:r>
      <w:r w:rsidRPr="0063051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Т.А.Ә.;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құрылымдық бөлімшені (филиалды/өкілдікті) қоғамдық аккредиттеу туралы мәліметтер – шешімнің күні мен нөмірі.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6. Этномәдени бірлестік қызметінің мазмұны: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жарғыға (ережеге) сәйкес бірлестіктің нысанасы, мақсаты мен міндеттері; 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жарғыға (ережеге) сәйкес негізгі қызмет бағыттары;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іске асырылған және іске асырылатын дербес жобалар (іс-шаралардың мақсаты, қысқаша мазмұны, нәтижелері);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органдармен және ұйымдармен ынтымақтастық (іс-шаралардың бағыты, форматы, қысқаша мазмұны, нәтижелері);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ҚХА-мен және ҚХА-ның құрылымдарымен өзара іс-қимыл (іс-шаралардың бағыты, форматы, қысқаша мазмұны, нәтижелері);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азаматтық қоғамның басқа институттарымен ынтымақтастық </w:t>
      </w: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br/>
        <w:t>(іс-шаралардың бағыты, форматы, қысқаша мазмұны, нәтижелері);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этностың тарихи шығу елінің ұйымдарымен ынтымақтастық </w:t>
      </w: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br/>
        <w:t>(іс-шаралардың бағыты, форматы, қысқаша мазмұны, нәтижелері).</w:t>
      </w:r>
    </w:p>
    <w:p w:rsidR="0063051E" w:rsidRPr="0063051E" w:rsidRDefault="0063051E" w:rsidP="006305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_________________________________________________________________ </w:t>
      </w:r>
    </w:p>
    <w:p w:rsidR="0063051E" w:rsidRPr="0063051E" w:rsidRDefault="0063051E" w:rsidP="00630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* сұратылған ақпарат бойынша мәліметтер болмаған жағдайда сызықша қойылады  </w:t>
      </w: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51E">
        <w:rPr>
          <w:rFonts w:ascii="Times New Roman" w:eastAsia="Calibri" w:hAnsi="Times New Roman" w:cs="Times New Roman"/>
          <w:sz w:val="28"/>
          <w:szCs w:val="28"/>
          <w:lang w:val="kk-KZ"/>
        </w:rPr>
        <w:t>** қауымдастық нысанындағы құрылымдық бөлімшенің паспортын толтыру кезінде қауымдастық мүшелері – этномәдени бірлестіктер туралы деректер келтіріледі</w:t>
      </w: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p w:rsidR="0063051E" w:rsidRDefault="0063051E" w:rsidP="006305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63051E" w:rsidRPr="0063051E" w:rsidTr="00A97BC9">
        <w:tc>
          <w:tcPr>
            <w:tcW w:w="5240" w:type="dxa"/>
          </w:tcPr>
          <w:p w:rsidR="0063051E" w:rsidRPr="0063051E" w:rsidRDefault="0063051E" w:rsidP="0063051E">
            <w:pPr>
              <w:spacing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4105" w:type="dxa"/>
          </w:tcPr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2021 жылғы 22 қарашадағы</w:t>
            </w:r>
          </w:p>
          <w:p w:rsidR="0063051E" w:rsidRPr="0063051E" w:rsidRDefault="0063051E" w:rsidP="0063051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Қазақстан халқы Ассамблеясының этномәдени бірлестіктерін қоғамдық аккредиттеу қағидаларына</w:t>
            </w:r>
          </w:p>
          <w:p w:rsidR="0063051E" w:rsidRPr="0063051E" w:rsidRDefault="0063051E" w:rsidP="0063051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630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3-ҚОСЫМША</w:t>
            </w:r>
          </w:p>
        </w:tc>
      </w:tr>
    </w:tbl>
    <w:p w:rsidR="0063051E" w:rsidRPr="0063051E" w:rsidRDefault="0063051E" w:rsidP="00630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  <w:lang w:val="kk-KZ"/>
        </w:rPr>
      </w:pPr>
    </w:p>
    <w:p w:rsidR="0063051E" w:rsidRPr="0063051E" w:rsidRDefault="0063051E" w:rsidP="0063051E">
      <w:pPr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</w:pPr>
      <w:r w:rsidRPr="0063051E"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  <w:t>Қазақстан халқы Ассамблеясының этномәдени бірлестіктерін</w:t>
      </w:r>
    </w:p>
    <w:p w:rsidR="0063051E" w:rsidRPr="0063051E" w:rsidRDefault="0063051E" w:rsidP="0063051E">
      <w:pPr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</w:pPr>
      <w:r w:rsidRPr="0063051E"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  <w:t xml:space="preserve"> қоғамдық аккредиттеу жөніндегі комиссияның </w:t>
      </w:r>
    </w:p>
    <w:p w:rsidR="0063051E" w:rsidRPr="0063051E" w:rsidRDefault="0063051E" w:rsidP="0063051E">
      <w:pPr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</w:pPr>
      <w:r w:rsidRPr="0063051E"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  <w:t>ҚҰРАМЫ</w:t>
      </w:r>
    </w:p>
    <w:p w:rsidR="0063051E" w:rsidRPr="0063051E" w:rsidRDefault="0063051E" w:rsidP="0063051E">
      <w:pPr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6"/>
          <w:szCs w:val="26"/>
          <w:lang w:val="kk-KZ"/>
        </w:rPr>
      </w:pP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Республикасы Президент Әкімшілігі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халқы Ассамблеясы                                        Комиссия төрағасы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val="kk-KZ" w:eastAsia="ru-RU"/>
        </w:rPr>
        <w:t>Хатшылық меңгерушісінің орынбасары</w:t>
      </w:r>
      <w:r w:rsidRPr="0063051E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u w:val="single"/>
          <w:lang w:val="kk-KZ" w:eastAsia="ru-RU"/>
        </w:rPr>
        <w:t xml:space="preserve">/ </w:t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val="kk-KZ" w:eastAsia="ru-RU"/>
        </w:rPr>
        <w:t xml:space="preserve">  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Этносаралық қызмет саласындағы 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ішкі саясат басқармасының/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өңірлерді қоғамдық дамыту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құрылымдық бөлімшесінің басшысы 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Қазақстан халқы Ассамблеясы/                            </w:t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ab/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ab/>
        <w:t>Комиссия төрағасының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өңірлік Ассамблея                                                  </w:t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ab/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ab/>
        <w:t>орынбасары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Кеңесінің мүшесі </w:t>
      </w: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ab/>
        <w:t xml:space="preserve">                                                          </w:t>
      </w:r>
    </w:p>
    <w:p w:rsidR="0063051E" w:rsidRPr="0063051E" w:rsidRDefault="0063051E" w:rsidP="006305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комиссия мүшелері:</w:t>
      </w:r>
    </w:p>
    <w:p w:rsidR="0063051E" w:rsidRPr="0063051E" w:rsidRDefault="0063051E" w:rsidP="006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Қазақстан Республикасы Парламенті Мәжілісінің депутаты/өңір мәслихатының депутаты </w:t>
      </w:r>
      <w:r w:rsidRPr="0063051E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val="kk-KZ" w:eastAsia="ru-RU"/>
        </w:rPr>
        <w:t>(келісім бойынша)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Республикасы Ақпарат және қоғамдық даму министрлігі «Қоғамдық келісім» РММ-ның директоры/өңірдің «Қоғамдық келісім» КММ-ның басшысы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халқы Ассамблеясы ғылыми-сараптамалық кеңесінің мүшесі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коммерциялық емес ұйымдар болып табылатын заңды тұлғаларды мемлекеттік тіркеу, олардың филиалдары мен өкілдіктерін есептік тіркеу мәселелерін қарайтын Қазақстан Республикасы Әділет министрлігі құрылымдық бөлімшесінің және аумақтық органдарының өкілі </w:t>
      </w:r>
      <w:r w:rsidRPr="0063051E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val="kk-KZ" w:eastAsia="ru-RU"/>
        </w:rPr>
        <w:t>(келісім бойынша)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Республикасы Ақпарат және қоғамдық даму министрлігі Этносаралық қатынастарды дамыту комитетінің өкілі/өңірдің этносаралық қатынастар мәселелері бөлімінің басшысы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 xml:space="preserve">коммерциялық емес ұйымдар болып табылатын заңды тұлғаларға салық салу мәселелерін қарайтын Қазақстан Республикасы Қаржы министрлігі Мемлекеттік кірістер комитеті құрылымдық бөлімшесінің және аумақтық органдарының өкілі </w:t>
      </w:r>
      <w:r w:rsidRPr="0063051E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val="kk-KZ" w:eastAsia="ru-RU"/>
        </w:rPr>
        <w:t>(келісім бойынша)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қоғамдық келісім мен жалпыұлттық бірлікті нығайту жөніндегі азаматтық қоғам институтының өкілі</w:t>
      </w: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</w:pPr>
    </w:p>
    <w:p w:rsidR="0063051E" w:rsidRPr="0063051E" w:rsidRDefault="0063051E" w:rsidP="0063051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305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kk-KZ" w:eastAsia="ru-RU"/>
        </w:rPr>
        <w:t>Қазақстан халқы Ассамблеясының мүшесі</w:t>
      </w:r>
    </w:p>
    <w:p w:rsidR="0063051E" w:rsidRPr="0063051E" w:rsidRDefault="0063051E" w:rsidP="00630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kk-KZ" w:eastAsia="ru-RU"/>
        </w:rPr>
      </w:pPr>
      <w:r w:rsidRPr="0063051E">
        <w:rPr>
          <w:rFonts w:ascii="Times New Roman" w:eastAsia="Calibri" w:hAnsi="Times New Roman" w:cs="Times New Roman"/>
          <w:sz w:val="27"/>
          <w:szCs w:val="27"/>
          <w:lang w:val="kk-KZ"/>
        </w:rPr>
        <w:t>____________________________________</w:t>
      </w:r>
      <w:bookmarkStart w:id="0" w:name="_GoBack"/>
      <w:bookmarkEnd w:id="0"/>
    </w:p>
    <w:sectPr w:rsidR="0063051E" w:rsidRPr="0063051E" w:rsidSect="0063051E">
      <w:headerReference w:type="default" r:id="rId8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FC" w:rsidRDefault="00764CFC" w:rsidP="00EC47F6">
      <w:pPr>
        <w:spacing w:after="0" w:line="240" w:lineRule="auto"/>
      </w:pPr>
      <w:r>
        <w:separator/>
      </w:r>
    </w:p>
  </w:endnote>
  <w:endnote w:type="continuationSeparator" w:id="0">
    <w:p w:rsidR="00764CFC" w:rsidRDefault="00764CFC" w:rsidP="00E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FC" w:rsidRDefault="00764CFC" w:rsidP="00EC47F6">
      <w:pPr>
        <w:spacing w:after="0" w:line="240" w:lineRule="auto"/>
      </w:pPr>
      <w:r>
        <w:separator/>
      </w:r>
    </w:p>
  </w:footnote>
  <w:footnote w:type="continuationSeparator" w:id="0">
    <w:p w:rsidR="00764CFC" w:rsidRDefault="00764CFC" w:rsidP="00E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327166"/>
      <w:docPartObj>
        <w:docPartGallery w:val="Page Numbers (Top of Page)"/>
        <w:docPartUnique/>
      </w:docPartObj>
    </w:sdtPr>
    <w:sdtEndPr/>
    <w:sdtContent>
      <w:p w:rsidR="00D43E8B" w:rsidRDefault="00D43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1E">
          <w:rPr>
            <w:noProof/>
          </w:rPr>
          <w:t>10</w:t>
        </w:r>
        <w:r>
          <w:fldChar w:fldCharType="end"/>
        </w:r>
      </w:p>
    </w:sdtContent>
  </w:sdt>
  <w:p w:rsidR="00D43E8B" w:rsidRDefault="00D43E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778"/>
    <w:multiLevelType w:val="hybridMultilevel"/>
    <w:tmpl w:val="FA8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8"/>
    <w:rsid w:val="00000971"/>
    <w:rsid w:val="000051DF"/>
    <w:rsid w:val="000209A7"/>
    <w:rsid w:val="000267ED"/>
    <w:rsid w:val="00041740"/>
    <w:rsid w:val="000464D0"/>
    <w:rsid w:val="00054173"/>
    <w:rsid w:val="00061D3F"/>
    <w:rsid w:val="00065EC2"/>
    <w:rsid w:val="00067FEE"/>
    <w:rsid w:val="000716F1"/>
    <w:rsid w:val="00075585"/>
    <w:rsid w:val="00080952"/>
    <w:rsid w:val="0008200D"/>
    <w:rsid w:val="000941F4"/>
    <w:rsid w:val="000A572C"/>
    <w:rsid w:val="000B3D74"/>
    <w:rsid w:val="000C2FFC"/>
    <w:rsid w:val="000C47C9"/>
    <w:rsid w:val="000D14E2"/>
    <w:rsid w:val="000D1935"/>
    <w:rsid w:val="000D3AAA"/>
    <w:rsid w:val="000F3A23"/>
    <w:rsid w:val="000F6C91"/>
    <w:rsid w:val="000F7455"/>
    <w:rsid w:val="00112131"/>
    <w:rsid w:val="0011298D"/>
    <w:rsid w:val="001242E6"/>
    <w:rsid w:val="001267EA"/>
    <w:rsid w:val="00126B69"/>
    <w:rsid w:val="00135899"/>
    <w:rsid w:val="00135D5E"/>
    <w:rsid w:val="00135DB1"/>
    <w:rsid w:val="001370B4"/>
    <w:rsid w:val="001408E7"/>
    <w:rsid w:val="0014437E"/>
    <w:rsid w:val="001451DF"/>
    <w:rsid w:val="00161456"/>
    <w:rsid w:val="00175F90"/>
    <w:rsid w:val="001803E7"/>
    <w:rsid w:val="00197F8C"/>
    <w:rsid w:val="001A0E00"/>
    <w:rsid w:val="001A2AD1"/>
    <w:rsid w:val="001A42F8"/>
    <w:rsid w:val="001B2CF1"/>
    <w:rsid w:val="001C118E"/>
    <w:rsid w:val="001D2EB0"/>
    <w:rsid w:val="001D3138"/>
    <w:rsid w:val="001E52F9"/>
    <w:rsid w:val="001F2E42"/>
    <w:rsid w:val="001F41E4"/>
    <w:rsid w:val="001F7FFB"/>
    <w:rsid w:val="00203748"/>
    <w:rsid w:val="00205DD2"/>
    <w:rsid w:val="002149B4"/>
    <w:rsid w:val="00217520"/>
    <w:rsid w:val="002334CD"/>
    <w:rsid w:val="002348F6"/>
    <w:rsid w:val="002372CA"/>
    <w:rsid w:val="00241ED3"/>
    <w:rsid w:val="00245CD8"/>
    <w:rsid w:val="00253ECF"/>
    <w:rsid w:val="00262417"/>
    <w:rsid w:val="00263549"/>
    <w:rsid w:val="00265032"/>
    <w:rsid w:val="002706C9"/>
    <w:rsid w:val="0027708D"/>
    <w:rsid w:val="00283DBC"/>
    <w:rsid w:val="002871C7"/>
    <w:rsid w:val="002A2AA9"/>
    <w:rsid w:val="002B0E25"/>
    <w:rsid w:val="002C74EA"/>
    <w:rsid w:val="002D1286"/>
    <w:rsid w:val="002E7AD3"/>
    <w:rsid w:val="002F451B"/>
    <w:rsid w:val="00303EDB"/>
    <w:rsid w:val="00310A5B"/>
    <w:rsid w:val="00317631"/>
    <w:rsid w:val="00321BFB"/>
    <w:rsid w:val="003243C5"/>
    <w:rsid w:val="00330E95"/>
    <w:rsid w:val="00334D98"/>
    <w:rsid w:val="00347EC2"/>
    <w:rsid w:val="00360D41"/>
    <w:rsid w:val="00380CA8"/>
    <w:rsid w:val="0038434F"/>
    <w:rsid w:val="00394A66"/>
    <w:rsid w:val="003A23C6"/>
    <w:rsid w:val="003A4401"/>
    <w:rsid w:val="003B2595"/>
    <w:rsid w:val="003D05D9"/>
    <w:rsid w:val="003D6F65"/>
    <w:rsid w:val="003E0DF8"/>
    <w:rsid w:val="003E256C"/>
    <w:rsid w:val="003F2BAF"/>
    <w:rsid w:val="003F736E"/>
    <w:rsid w:val="00407111"/>
    <w:rsid w:val="00410DEE"/>
    <w:rsid w:val="00414D00"/>
    <w:rsid w:val="00421EFD"/>
    <w:rsid w:val="00433124"/>
    <w:rsid w:val="004370BA"/>
    <w:rsid w:val="00441BFF"/>
    <w:rsid w:val="00450A7E"/>
    <w:rsid w:val="004526ED"/>
    <w:rsid w:val="00471AAE"/>
    <w:rsid w:val="0047514E"/>
    <w:rsid w:val="00480F51"/>
    <w:rsid w:val="0048344A"/>
    <w:rsid w:val="004835CB"/>
    <w:rsid w:val="00483D73"/>
    <w:rsid w:val="00487DD0"/>
    <w:rsid w:val="004A02F1"/>
    <w:rsid w:val="004A1932"/>
    <w:rsid w:val="004B3588"/>
    <w:rsid w:val="004C7F66"/>
    <w:rsid w:val="004C7FE6"/>
    <w:rsid w:val="004D7526"/>
    <w:rsid w:val="004E1F61"/>
    <w:rsid w:val="004E5DE8"/>
    <w:rsid w:val="004F2747"/>
    <w:rsid w:val="00505697"/>
    <w:rsid w:val="00510205"/>
    <w:rsid w:val="00510385"/>
    <w:rsid w:val="0051574F"/>
    <w:rsid w:val="005218F9"/>
    <w:rsid w:val="0052557A"/>
    <w:rsid w:val="00525F69"/>
    <w:rsid w:val="00530000"/>
    <w:rsid w:val="00530BD1"/>
    <w:rsid w:val="00533CD2"/>
    <w:rsid w:val="00535171"/>
    <w:rsid w:val="00537C56"/>
    <w:rsid w:val="00542ECC"/>
    <w:rsid w:val="00545864"/>
    <w:rsid w:val="0055371A"/>
    <w:rsid w:val="00572765"/>
    <w:rsid w:val="0059275A"/>
    <w:rsid w:val="00593235"/>
    <w:rsid w:val="00594933"/>
    <w:rsid w:val="005A035C"/>
    <w:rsid w:val="005A7D12"/>
    <w:rsid w:val="005B3C82"/>
    <w:rsid w:val="005B7A63"/>
    <w:rsid w:val="005C04A3"/>
    <w:rsid w:val="005C3FCF"/>
    <w:rsid w:val="005D0674"/>
    <w:rsid w:val="005D0A47"/>
    <w:rsid w:val="005D35D8"/>
    <w:rsid w:val="005D4348"/>
    <w:rsid w:val="005E4DCF"/>
    <w:rsid w:val="005E6673"/>
    <w:rsid w:val="005F1635"/>
    <w:rsid w:val="00605151"/>
    <w:rsid w:val="00613C80"/>
    <w:rsid w:val="006149C9"/>
    <w:rsid w:val="00622449"/>
    <w:rsid w:val="0063051E"/>
    <w:rsid w:val="00635853"/>
    <w:rsid w:val="00666C75"/>
    <w:rsid w:val="00686F75"/>
    <w:rsid w:val="00693EEF"/>
    <w:rsid w:val="0069680A"/>
    <w:rsid w:val="00696E8B"/>
    <w:rsid w:val="006A05F9"/>
    <w:rsid w:val="006A5DF0"/>
    <w:rsid w:val="006B5201"/>
    <w:rsid w:val="006D6BB1"/>
    <w:rsid w:val="006E3830"/>
    <w:rsid w:val="006F046F"/>
    <w:rsid w:val="006F7866"/>
    <w:rsid w:val="00700070"/>
    <w:rsid w:val="00702C7D"/>
    <w:rsid w:val="00711704"/>
    <w:rsid w:val="00712608"/>
    <w:rsid w:val="007220C2"/>
    <w:rsid w:val="007261FB"/>
    <w:rsid w:val="00737D2B"/>
    <w:rsid w:val="00745922"/>
    <w:rsid w:val="00751E78"/>
    <w:rsid w:val="007541BA"/>
    <w:rsid w:val="007606AD"/>
    <w:rsid w:val="00762871"/>
    <w:rsid w:val="00763031"/>
    <w:rsid w:val="00764CFC"/>
    <w:rsid w:val="00766014"/>
    <w:rsid w:val="0077100D"/>
    <w:rsid w:val="007867AA"/>
    <w:rsid w:val="007900D6"/>
    <w:rsid w:val="00792E91"/>
    <w:rsid w:val="00795453"/>
    <w:rsid w:val="007965DA"/>
    <w:rsid w:val="007A0A04"/>
    <w:rsid w:val="007B561F"/>
    <w:rsid w:val="007B57C6"/>
    <w:rsid w:val="007C531C"/>
    <w:rsid w:val="007E1333"/>
    <w:rsid w:val="007E1385"/>
    <w:rsid w:val="007E2E7F"/>
    <w:rsid w:val="007F3D34"/>
    <w:rsid w:val="007F6F74"/>
    <w:rsid w:val="00804BB8"/>
    <w:rsid w:val="008075EB"/>
    <w:rsid w:val="0081283B"/>
    <w:rsid w:val="00820AF7"/>
    <w:rsid w:val="00822201"/>
    <w:rsid w:val="00834E10"/>
    <w:rsid w:val="00841958"/>
    <w:rsid w:val="00842D21"/>
    <w:rsid w:val="00845D73"/>
    <w:rsid w:val="00847DD8"/>
    <w:rsid w:val="00851757"/>
    <w:rsid w:val="00860E0C"/>
    <w:rsid w:val="00865B83"/>
    <w:rsid w:val="008749FB"/>
    <w:rsid w:val="00876367"/>
    <w:rsid w:val="00880FA0"/>
    <w:rsid w:val="00882094"/>
    <w:rsid w:val="00883C4E"/>
    <w:rsid w:val="008A6B08"/>
    <w:rsid w:val="008C2D42"/>
    <w:rsid w:val="008D5F4E"/>
    <w:rsid w:val="008D74D7"/>
    <w:rsid w:val="008E5D92"/>
    <w:rsid w:val="008E6477"/>
    <w:rsid w:val="008F0D85"/>
    <w:rsid w:val="008F1DE6"/>
    <w:rsid w:val="009019F0"/>
    <w:rsid w:val="00906949"/>
    <w:rsid w:val="00912B38"/>
    <w:rsid w:val="00923B68"/>
    <w:rsid w:val="0092405C"/>
    <w:rsid w:val="00924680"/>
    <w:rsid w:val="0093072F"/>
    <w:rsid w:val="00936C13"/>
    <w:rsid w:val="00963375"/>
    <w:rsid w:val="00973A17"/>
    <w:rsid w:val="00976BD3"/>
    <w:rsid w:val="00977F16"/>
    <w:rsid w:val="0098030E"/>
    <w:rsid w:val="009A3F9F"/>
    <w:rsid w:val="009B04DA"/>
    <w:rsid w:val="009C1A33"/>
    <w:rsid w:val="009C2493"/>
    <w:rsid w:val="009C7E9B"/>
    <w:rsid w:val="009D1B46"/>
    <w:rsid w:val="009E4A53"/>
    <w:rsid w:val="00A01BFB"/>
    <w:rsid w:val="00A05CA9"/>
    <w:rsid w:val="00A13E40"/>
    <w:rsid w:val="00A22DC1"/>
    <w:rsid w:val="00A25F73"/>
    <w:rsid w:val="00A305E0"/>
    <w:rsid w:val="00A36E9E"/>
    <w:rsid w:val="00A43829"/>
    <w:rsid w:val="00A44BBF"/>
    <w:rsid w:val="00A45665"/>
    <w:rsid w:val="00A52A65"/>
    <w:rsid w:val="00A65A6E"/>
    <w:rsid w:val="00A81F0D"/>
    <w:rsid w:val="00A82011"/>
    <w:rsid w:val="00A879D3"/>
    <w:rsid w:val="00A87F79"/>
    <w:rsid w:val="00A95C28"/>
    <w:rsid w:val="00AA67A1"/>
    <w:rsid w:val="00AB3A98"/>
    <w:rsid w:val="00AB70AF"/>
    <w:rsid w:val="00AC292A"/>
    <w:rsid w:val="00AC64D4"/>
    <w:rsid w:val="00AC7FFC"/>
    <w:rsid w:val="00AD091A"/>
    <w:rsid w:val="00AD162D"/>
    <w:rsid w:val="00AD75C2"/>
    <w:rsid w:val="00AD7DC9"/>
    <w:rsid w:val="00AE073B"/>
    <w:rsid w:val="00AE0F77"/>
    <w:rsid w:val="00AE13B9"/>
    <w:rsid w:val="00AE747E"/>
    <w:rsid w:val="00B154A9"/>
    <w:rsid w:val="00B22431"/>
    <w:rsid w:val="00B262FF"/>
    <w:rsid w:val="00B335A8"/>
    <w:rsid w:val="00B412CD"/>
    <w:rsid w:val="00B47466"/>
    <w:rsid w:val="00B51A68"/>
    <w:rsid w:val="00B633A7"/>
    <w:rsid w:val="00B7596D"/>
    <w:rsid w:val="00B85A1D"/>
    <w:rsid w:val="00B92012"/>
    <w:rsid w:val="00BA0194"/>
    <w:rsid w:val="00BA1953"/>
    <w:rsid w:val="00BB4D28"/>
    <w:rsid w:val="00BB6F89"/>
    <w:rsid w:val="00BE2751"/>
    <w:rsid w:val="00BE52EA"/>
    <w:rsid w:val="00BF214C"/>
    <w:rsid w:val="00BF3D36"/>
    <w:rsid w:val="00BF7651"/>
    <w:rsid w:val="00C07C88"/>
    <w:rsid w:val="00C1015D"/>
    <w:rsid w:val="00C12EAA"/>
    <w:rsid w:val="00C2021C"/>
    <w:rsid w:val="00C30C3F"/>
    <w:rsid w:val="00C30E01"/>
    <w:rsid w:val="00C31C09"/>
    <w:rsid w:val="00C31CA0"/>
    <w:rsid w:val="00C34818"/>
    <w:rsid w:val="00C4141B"/>
    <w:rsid w:val="00C47FE1"/>
    <w:rsid w:val="00C730FF"/>
    <w:rsid w:val="00C779AA"/>
    <w:rsid w:val="00C77E2A"/>
    <w:rsid w:val="00C9335F"/>
    <w:rsid w:val="00C93CCC"/>
    <w:rsid w:val="00C940AB"/>
    <w:rsid w:val="00C97D87"/>
    <w:rsid w:val="00CA5302"/>
    <w:rsid w:val="00CA5532"/>
    <w:rsid w:val="00CB295F"/>
    <w:rsid w:val="00CB33BF"/>
    <w:rsid w:val="00CB3A1C"/>
    <w:rsid w:val="00CD0230"/>
    <w:rsid w:val="00CD20B2"/>
    <w:rsid w:val="00CD42A9"/>
    <w:rsid w:val="00CD4EDA"/>
    <w:rsid w:val="00CD5F1B"/>
    <w:rsid w:val="00CE075C"/>
    <w:rsid w:val="00CE16FB"/>
    <w:rsid w:val="00CE2961"/>
    <w:rsid w:val="00CF3DBB"/>
    <w:rsid w:val="00D03A99"/>
    <w:rsid w:val="00D11C14"/>
    <w:rsid w:val="00D163AC"/>
    <w:rsid w:val="00D27673"/>
    <w:rsid w:val="00D3364A"/>
    <w:rsid w:val="00D33D24"/>
    <w:rsid w:val="00D41054"/>
    <w:rsid w:val="00D43C37"/>
    <w:rsid w:val="00D43E8B"/>
    <w:rsid w:val="00D44CBF"/>
    <w:rsid w:val="00D62E57"/>
    <w:rsid w:val="00D63EF2"/>
    <w:rsid w:val="00D67822"/>
    <w:rsid w:val="00D72BA6"/>
    <w:rsid w:val="00D764FD"/>
    <w:rsid w:val="00D87EDA"/>
    <w:rsid w:val="00D95403"/>
    <w:rsid w:val="00DA0603"/>
    <w:rsid w:val="00DA45A6"/>
    <w:rsid w:val="00DA74B7"/>
    <w:rsid w:val="00DC02FA"/>
    <w:rsid w:val="00DC48F5"/>
    <w:rsid w:val="00DC4D36"/>
    <w:rsid w:val="00DD1F67"/>
    <w:rsid w:val="00DD6817"/>
    <w:rsid w:val="00DD7634"/>
    <w:rsid w:val="00DE02CF"/>
    <w:rsid w:val="00DE479E"/>
    <w:rsid w:val="00DE5D44"/>
    <w:rsid w:val="00DE5D97"/>
    <w:rsid w:val="00DF4DCF"/>
    <w:rsid w:val="00E01A72"/>
    <w:rsid w:val="00E0256C"/>
    <w:rsid w:val="00E102DD"/>
    <w:rsid w:val="00E10E05"/>
    <w:rsid w:val="00E2515F"/>
    <w:rsid w:val="00E26CD8"/>
    <w:rsid w:val="00E33F5C"/>
    <w:rsid w:val="00E37111"/>
    <w:rsid w:val="00E440D4"/>
    <w:rsid w:val="00E46D5A"/>
    <w:rsid w:val="00E5593B"/>
    <w:rsid w:val="00E5767A"/>
    <w:rsid w:val="00E62210"/>
    <w:rsid w:val="00E721AC"/>
    <w:rsid w:val="00E72D1C"/>
    <w:rsid w:val="00E85ABB"/>
    <w:rsid w:val="00E93183"/>
    <w:rsid w:val="00EB49B8"/>
    <w:rsid w:val="00EC170F"/>
    <w:rsid w:val="00EC32A4"/>
    <w:rsid w:val="00EC47F6"/>
    <w:rsid w:val="00EC7538"/>
    <w:rsid w:val="00ED771C"/>
    <w:rsid w:val="00EE487D"/>
    <w:rsid w:val="00EE5DD7"/>
    <w:rsid w:val="00EE61F0"/>
    <w:rsid w:val="00EF2896"/>
    <w:rsid w:val="00EF364A"/>
    <w:rsid w:val="00F01BAF"/>
    <w:rsid w:val="00F023AF"/>
    <w:rsid w:val="00F0305C"/>
    <w:rsid w:val="00F0313D"/>
    <w:rsid w:val="00F11358"/>
    <w:rsid w:val="00F21F3E"/>
    <w:rsid w:val="00F3012A"/>
    <w:rsid w:val="00F34697"/>
    <w:rsid w:val="00F37A41"/>
    <w:rsid w:val="00F416C6"/>
    <w:rsid w:val="00F54865"/>
    <w:rsid w:val="00F55280"/>
    <w:rsid w:val="00F56D34"/>
    <w:rsid w:val="00F5746B"/>
    <w:rsid w:val="00F64CE6"/>
    <w:rsid w:val="00F806B9"/>
    <w:rsid w:val="00F900B6"/>
    <w:rsid w:val="00F94403"/>
    <w:rsid w:val="00FA4FD4"/>
    <w:rsid w:val="00FB2CEE"/>
    <w:rsid w:val="00FC62F5"/>
    <w:rsid w:val="00FE151D"/>
    <w:rsid w:val="00FF07B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F46C"/>
  <w15:docId w15:val="{C4090B50-F051-467B-A34B-E6156B6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451B"/>
  </w:style>
  <w:style w:type="paragraph" w:styleId="a5">
    <w:name w:val="header"/>
    <w:basedOn w:val="a"/>
    <w:link w:val="a6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F6"/>
  </w:style>
  <w:style w:type="paragraph" w:styleId="a7">
    <w:name w:val="footer"/>
    <w:basedOn w:val="a"/>
    <w:link w:val="a8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7F6"/>
  </w:style>
  <w:style w:type="paragraph" w:styleId="a9">
    <w:name w:val="Balloon Text"/>
    <w:basedOn w:val="a"/>
    <w:link w:val="aa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3C7F-BD70-40E2-A120-6F60660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Жолдыбаев Азат Амандыкович</dc:creator>
  <cp:lastModifiedBy>Раһимзаде Инара Раһимгызы</cp:lastModifiedBy>
  <cp:revision>26</cp:revision>
  <cp:lastPrinted>2021-11-13T06:04:00Z</cp:lastPrinted>
  <dcterms:created xsi:type="dcterms:W3CDTF">2021-11-13T05:39:00Z</dcterms:created>
  <dcterms:modified xsi:type="dcterms:W3CDTF">2021-11-15T11:16:00Z</dcterms:modified>
</cp:coreProperties>
</file>